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 kerk roept Nr.22 - 2025</w:t>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TUIL</w:t>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Kerkdiensten</w:t>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Woensdag 5 november 19.30u</w:t>
      </w:r>
      <w:r w:rsidDel="00000000" w:rsidR="00000000" w:rsidRPr="00000000">
        <w:rPr>
          <w:rFonts w:ascii="Calibri" w:cs="Calibri" w:eastAsia="Calibri" w:hAnsi="Calibri"/>
          <w:sz w:val="24"/>
          <w:szCs w:val="24"/>
          <w:rtl w:val="0"/>
        </w:rPr>
        <w:t xml:space="preserve"> ds. H.O. ter Beek uit Varik</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Organist: dhr. Appie de With</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Dankdag voor gewas en arbeid</w:t>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Zondag 9 november  10.00u </w:t>
      </w:r>
      <w:r w:rsidDel="00000000" w:rsidR="00000000" w:rsidRPr="00000000">
        <w:rPr>
          <w:rFonts w:ascii="Calibri" w:cs="Calibri" w:eastAsia="Calibri" w:hAnsi="Calibri"/>
          <w:sz w:val="24"/>
          <w:szCs w:val="24"/>
          <w:rtl w:val="0"/>
        </w:rPr>
        <w:t xml:space="preserve">ds. U.G.M. Doedens</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Organist: dhr. Jelte Veenhoven</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kindernevendienst en tienerkerk</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viering Heilig Avondmaal</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 collecte diaconie</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Zondag 16 november 10.00u </w:t>
      </w:r>
      <w:r w:rsidDel="00000000" w:rsidR="00000000" w:rsidRPr="00000000">
        <w:rPr>
          <w:rFonts w:ascii="Calibri" w:cs="Calibri" w:eastAsia="Calibri" w:hAnsi="Calibri"/>
          <w:sz w:val="24"/>
          <w:szCs w:val="24"/>
          <w:rtl w:val="0"/>
        </w:rPr>
        <w:t xml:space="preserve">ds. M.W. de Mik-van der Waal uit Buren</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Organist: dhr. Hanno Hommel</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kindernevendienst </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Zondag 23 november 10.00u </w:t>
      </w:r>
      <w:r w:rsidDel="00000000" w:rsidR="00000000" w:rsidRPr="00000000">
        <w:rPr>
          <w:rFonts w:ascii="Calibri" w:cs="Calibri" w:eastAsia="Calibri" w:hAnsi="Calibri"/>
          <w:sz w:val="24"/>
          <w:szCs w:val="24"/>
          <w:rtl w:val="0"/>
        </w:rPr>
        <w:t xml:space="preserve">ds. U.G.M. Doedens</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Organist: dhr. Jasper van Kooij</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kindernevendienst  en tienerkerk</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Eeuwigheidszondag</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Bij de diensten</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deze “De Kerk Roept” op de deurmat valt, is het dankdag voor gewas en arbeid. Met het nieuws van alledag in onze gedachten zou je bijna vergeten dat ook in het afgelopen seizoen is gezaaid en geoogst, gewerkt en opgeleverd. Tijdens de dankstond willen we daarbij stilstaan en voor alle goede gaven de ere geven wie de ere toekomt.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 9 november vieren we het Heilig Avondmaal. Normaal is de preek het voertuig dat God gebruikt om zich kenbaar te maken, maar er is ook de tastbaarder manier van het delen van brood en wijn. Rond dit sacrament hangt altijd enige huiver. Dat is begrijpelijk. Aan het avondmaal gaan is kleur bekennen. Toch zou het jammer zijn als onze huiver het goede waaraan Jezus ons in zijn gemeenschap deel wil geven overschaduwt. Over dit thema willen we van gedachten wisselen tijdens de Gemeente-avond van 12 november.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de dienst van 16 november is ds. De Mik onze voorganger. Op het leesrooster staan nog steeds lezingen uit Lucas. Ditmaal een van de laatste gesprekken die Jezus voerde met zijn critici, Lucas 20: 27-40. De schriftgeleerden werpen Jezus voor de voeten dat het leven in de toekomende wereld absurd is.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 23 november is het de laatste zondag van dit kerkelijk jaar. In deze dienst gedenken we hen die van ons heengegaan zijn. In de volgende ‘De Kerk Roept’ leest u hierover meer.</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Gezegende diensten gewenst!</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Iedere zondag is er kindernevendienst. De tienerkerk komt weer bijeen op 9 november. 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 diensten worden uitgezonden op </w:t>
      </w:r>
      <w:hyperlink r:id="rId7">
        <w:r w:rsidDel="00000000" w:rsidR="00000000" w:rsidRPr="00000000">
          <w:rPr>
            <w:rFonts w:ascii="Calibri" w:cs="Calibri" w:eastAsia="Calibri" w:hAnsi="Calibri"/>
            <w:color w:val="1155cc"/>
            <w:sz w:val="24"/>
            <w:szCs w:val="24"/>
            <w:u w:val="single"/>
            <w:rtl w:val="0"/>
          </w:rPr>
          <w:t xml:space="preserve">kerkdienstgemist.nl</w:t>
        </w:r>
      </w:hyperlink>
      <w:r w:rsidDel="00000000" w:rsidR="00000000" w:rsidRPr="00000000">
        <w:rPr>
          <w:rFonts w:ascii="Calibri" w:cs="Calibri" w:eastAsia="Calibri" w:hAnsi="Calibri"/>
          <w:sz w:val="24"/>
          <w:szCs w:val="24"/>
          <w:rtl w:val="0"/>
        </w:rPr>
        <w:t xml:space="preserve">. Op onze website staat een link naar de dienst. Ook kunt u hier diensten terugkijken of -luisteren. </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Omzien naar elkaar</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leven met elkaar mee in aandacht en voorbede. We denken aan alle mensen, die leven met ziekte, zorgen, eenzaamheid en verdriet. We bidden voor hen die rouw dragen en denken in het bijzonder aan de kleinkinderen van mw. Metje Sterrenberg- van Steenis.</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Veel mensen leven met onzekerheid. Kan ik dit werk houden? Wil ik dit werk houden? Wat is er lichamelijk met me aan de hand? Gaan mijn klachten over of komt de kwaal weer terug? Wij bidden om rust en kracht.</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Dankbaar zijn we met Cor en Alie Baars. Cor onderging in Nederland een operatie aan zijn rug. De operatie mocht naar wens verlopen en Cor herstelt de komende weken van de ingreep bij de familie van Deursen in Tuil. Wij bidden Cor en Alie veel kracht en sterkte toe.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color w:val="000000"/>
          <w:sz w:val="24"/>
          <w:szCs w:val="24"/>
          <w:shd w:fill="auto" w:val="clear"/>
        </w:rPr>
      </w:pPr>
      <w:r w:rsidDel="00000000" w:rsidR="00000000" w:rsidRPr="00000000">
        <w:rPr>
          <w:rFonts w:ascii="Calibri" w:cs="Calibri" w:eastAsia="Calibri" w:hAnsi="Calibri"/>
          <w:b w:val="1"/>
          <w:color w:val="000000"/>
          <w:sz w:val="24"/>
          <w:szCs w:val="24"/>
          <w:shd w:fill="auto" w:val="clear"/>
          <w:rtl w:val="0"/>
        </w:rPr>
        <w:t xml:space="preserve">In memoriam</w:t>
      </w:r>
    </w:p>
    <w:p w:rsidR="00000000" w:rsidDel="00000000" w:rsidP="00000000" w:rsidRDefault="00000000" w:rsidRPr="00000000" w14:paraId="0000002C">
      <w:pPr>
        <w:spacing w:line="240" w:lineRule="auto"/>
        <w:rPr>
          <w:rFonts w:ascii="Calibri" w:cs="Calibri" w:eastAsia="Calibri" w:hAnsi="Calibri"/>
          <w:color w:val="000000"/>
          <w:sz w:val="24"/>
          <w:szCs w:val="24"/>
          <w:shd w:fill="auto" w:val="clear"/>
        </w:rPr>
      </w:pPr>
      <w:r w:rsidDel="00000000" w:rsidR="00000000" w:rsidRPr="00000000">
        <w:rPr>
          <w:rFonts w:ascii="Calibri" w:cs="Calibri" w:eastAsia="Calibri" w:hAnsi="Calibri"/>
          <w:color w:val="000000"/>
          <w:sz w:val="24"/>
          <w:szCs w:val="24"/>
          <w:shd w:fill="auto" w:val="clear"/>
          <w:rtl w:val="0"/>
        </w:rPr>
        <w:t xml:space="preserve">Op 17 oktober 2025 overleed Metje Sterrenberg – van Steenis in de leeftijd van 93 jaar. Een groot deel van haar leven heeft zich afgespeeld aan de Bouwing, waar zij en haar man Louis zo lang hebben gewoond en gewerkt. Op de kaart schreven de kleinkinderen ‘Een actief leven vol liefde is voltooid’. In dankbaarheid hebben ze afscheid genomen van hun lieve oma, die met haar humor en wijsheid hun leven kleur heeft gegeven. Het werk van de Trooster was belangrijk geworden voor Metje en de tekst uit Johannes 16: 5-24 had ze hiervoor zelf aangedragen. We bidden Sjamilla en Tom, en Manuel Gods troostende nabijheid toe nu ze na het overlijden van hun moeder vorig jaar ook hun oma verliezen. </w:t>
      </w:r>
    </w:p>
    <w:p w:rsidR="00000000" w:rsidDel="00000000" w:rsidP="00000000" w:rsidRDefault="00000000" w:rsidRPr="00000000" w14:paraId="0000002D">
      <w:pPr>
        <w:spacing w:line="240" w:lineRule="auto"/>
        <w:rPr>
          <w:rFonts w:ascii="Calibri" w:cs="Calibri" w:eastAsia="Calibri" w:hAnsi="Calibri"/>
          <w:color w:val="000000"/>
          <w:sz w:val="24"/>
          <w:szCs w:val="24"/>
          <w:shd w:fill="auto" w:val="clear"/>
        </w:rPr>
      </w:pPr>
      <w:r w:rsidDel="00000000" w:rsidR="00000000" w:rsidRPr="00000000">
        <w:rPr>
          <w:rFonts w:ascii="Calibri" w:cs="Calibri" w:eastAsia="Calibri" w:hAnsi="Calibri"/>
          <w:color w:val="000000"/>
          <w:sz w:val="24"/>
          <w:szCs w:val="24"/>
          <w:shd w:fill="auto" w:val="clear"/>
          <w:rtl w:val="0"/>
        </w:rPr>
        <w:t xml:space="preserve">De crematie heeft op 21 oktober in besloten kring plaatsgevonden in Tiel. </w:t>
      </w:r>
    </w:p>
    <w:p w:rsidR="00000000" w:rsidDel="00000000" w:rsidP="00000000" w:rsidRDefault="00000000" w:rsidRPr="00000000" w14:paraId="0000002E">
      <w:pPr>
        <w:spacing w:line="240" w:lineRule="auto"/>
        <w:rPr>
          <w:rFonts w:ascii="Calibri" w:cs="Calibri" w:eastAsia="Calibri" w:hAnsi="Calibri"/>
          <w:color w:val="000000"/>
          <w:sz w:val="24"/>
          <w:szCs w:val="24"/>
          <w:shd w:fill="auto" w:val="clear"/>
        </w:rPr>
      </w:pPr>
      <w:r w:rsidDel="00000000" w:rsidR="00000000" w:rsidRPr="00000000">
        <w:rPr>
          <w:rFonts w:ascii="Calibri" w:cs="Calibri" w:eastAsia="Calibri" w:hAnsi="Calibri"/>
          <w:color w:val="000000"/>
          <w:sz w:val="24"/>
          <w:szCs w:val="24"/>
          <w:shd w:fill="auto" w:val="clear"/>
          <w:rtl w:val="0"/>
        </w:rPr>
        <w:t xml:space="preserve">Hartelijke groet, Marjan ter Beek-Hop</w:t>
      </w:r>
    </w:p>
    <w:p w:rsidR="00000000" w:rsidDel="00000000" w:rsidP="00000000" w:rsidRDefault="00000000" w:rsidRPr="00000000" w14:paraId="0000002F">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Diaconie</w:t>
      </w:r>
    </w:p>
    <w:p w:rsidR="00000000" w:rsidDel="00000000" w:rsidP="00000000" w:rsidRDefault="00000000" w:rsidRPr="00000000" w14:paraId="00000031">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extra collecte van de diaconie in de maand november  is bestemd voor de stichting “Dorcas”.</w:t>
      </w:r>
    </w:p>
    <w:p w:rsidR="00000000" w:rsidDel="00000000" w:rsidP="00000000" w:rsidRDefault="00000000" w:rsidRPr="00000000" w14:paraId="0000003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Van diaconie en kerkvoogdij</w:t>
      </w:r>
    </w:p>
    <w:p w:rsidR="00000000" w:rsidDel="00000000" w:rsidP="00000000" w:rsidRDefault="00000000" w:rsidRPr="00000000" w14:paraId="0000003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Zowel het college van diakenen als het college van kerkrentmeesters mocht de goedkeuring van de jaarrekening over 2024 ontvangen. In de week van 3 tot 9 november kunt u wanneer u één of beide jaarrekeningen wilt inzien een afspraak maken met diaken Minke van der Meer(06-50490782) of ouderling-kerkrentmeester Matthijs den Hartog(06-42649987)</w:t>
      </w:r>
    </w:p>
    <w:p w:rsidR="00000000" w:rsidDel="00000000" w:rsidP="00000000" w:rsidRDefault="00000000" w:rsidRPr="00000000" w14:paraId="00000035">
      <w:pPr>
        <w:shd w:fill="ffffff"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Beide jaarrekeningen staan ook op onze website onder de knop ANBI</w:t>
      </w: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8">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Kerkvoogdij van de Hervormde gemeente Tuil: NL39 RABO 0324 1508 49.</w:t>
      </w:r>
    </w:p>
    <w:p w:rsidR="00000000" w:rsidDel="00000000" w:rsidP="00000000" w:rsidRDefault="00000000" w:rsidRPr="00000000" w14:paraId="00000039">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Diaconie van de Hervormde gemeente Tuil: NL66 RABO 0324 1178 68.</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Hartelijk dank voor uw bijdragen!</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Agenda</w:t>
      </w:r>
    </w:p>
    <w:p w:rsidR="00000000" w:rsidDel="00000000" w:rsidP="00000000" w:rsidRDefault="00000000" w:rsidRPr="00000000" w14:paraId="0000003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Soep en Praatje</w:t>
      </w:r>
    </w:p>
    <w:p w:rsidR="00000000" w:rsidDel="00000000" w:rsidP="00000000" w:rsidRDefault="00000000" w:rsidRPr="00000000" w14:paraId="00000040">
      <w:pPr>
        <w:shd w:fill="ffffff"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 maandag 10 november vanaf 11.30u </w:t>
      </w:r>
      <w:r w:rsidDel="00000000" w:rsidR="00000000" w:rsidRPr="00000000">
        <w:rPr>
          <w:rFonts w:ascii="Calibri" w:cs="Calibri" w:eastAsia="Calibri" w:hAnsi="Calibri"/>
          <w:sz w:val="24"/>
          <w:szCs w:val="24"/>
          <w:rtl w:val="0"/>
        </w:rPr>
        <w:t xml:space="preserve">in het Hervormd Centrum in Opijnen. Tuilse dorps- en gemeenteleden zijn ook hartelijk welkom. Wilt u gebruik van deze uitnodiging maken, meldt het even bij Marjanne(liefst voor 7 november)</w:t>
      </w:r>
      <w:r w:rsidDel="00000000" w:rsidR="00000000" w:rsidRPr="00000000">
        <w:rPr>
          <w:rtl w:val="0"/>
        </w:rPr>
      </w:r>
    </w:p>
    <w:p w:rsidR="00000000" w:rsidDel="00000000" w:rsidP="00000000" w:rsidRDefault="00000000" w:rsidRPr="00000000" w14:paraId="00000041">
      <w:pP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Gemeenteavond rond de viering van het Heilig Avondmaal</w:t>
      </w:r>
    </w:p>
    <w:p w:rsidR="00000000" w:rsidDel="00000000" w:rsidP="00000000" w:rsidRDefault="00000000" w:rsidRPr="00000000" w14:paraId="00000043">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Op woensdag 12 november om 19.30u </w:t>
      </w:r>
      <w:r w:rsidDel="00000000" w:rsidR="00000000" w:rsidRPr="00000000">
        <w:rPr>
          <w:rFonts w:ascii="Calibri" w:cs="Calibri" w:eastAsia="Calibri" w:hAnsi="Calibri"/>
          <w:sz w:val="24"/>
          <w:szCs w:val="24"/>
          <w:rtl w:val="0"/>
        </w:rPr>
        <w:t xml:space="preserve">in het dorpshuis in Tuil. Naast het huishoudelijke gedeelte bespreken we deze avond onze ervaringen met het vieren van Heilig Avondmaal. De maaltijd van de Heer is een plechtige en feestelijke, maar ook beladen gebeurtenis. Wat betekent het avondmaal voor ons? Zou het mogelijk kunnen zijn om iets van de beladenheid weg te nemen zonder dat de viering aan ernst en diepgang inboet? Hoe dan? Deze en andere vragen hopen we op een open en ongedwongen manier met elkaar te kunnen bespreken. </w:t>
      </w: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Gesprekskring in Tuil</w:t>
      </w:r>
    </w:p>
    <w:p w:rsidR="00000000" w:rsidDel="00000000" w:rsidP="00000000" w:rsidRDefault="00000000" w:rsidRPr="00000000" w14:paraId="00000046">
      <w:pPr>
        <w:shd w:fill="ffffff" w:val="clear"/>
        <w:rPr>
          <w:rFonts w:ascii="Calibri" w:cs="Calibri" w:eastAsia="Calibri" w:hAnsi="Calibri"/>
          <w:b w:val="1"/>
          <w:i w:val="1"/>
          <w:color w:val="000000"/>
          <w:sz w:val="24"/>
          <w:szCs w:val="24"/>
        </w:rPr>
      </w:pPr>
      <w:r w:rsidDel="00000000" w:rsidR="00000000" w:rsidRPr="00000000">
        <w:rPr>
          <w:rFonts w:ascii="Calibri" w:cs="Calibri" w:eastAsia="Calibri" w:hAnsi="Calibri"/>
          <w:b w:val="1"/>
          <w:color w:val="000000"/>
          <w:sz w:val="24"/>
          <w:szCs w:val="24"/>
          <w:rtl w:val="0"/>
        </w:rPr>
        <w:t xml:space="preserve">Op woensdagavond 19 november om 19.30u. </w:t>
      </w:r>
      <w:r w:rsidDel="00000000" w:rsidR="00000000" w:rsidRPr="00000000">
        <w:rPr>
          <w:rFonts w:ascii="Calibri" w:cs="Calibri" w:eastAsia="Calibri" w:hAnsi="Calibri"/>
          <w:color w:val="000000"/>
          <w:sz w:val="24"/>
          <w:szCs w:val="24"/>
          <w:rtl w:val="0"/>
        </w:rPr>
        <w:t xml:space="preserve">Bent u hartelijk welkom</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in de consistorie van de Tuilse dorpskerk. We lezen hoofdstuk 1 met de daaraan voorafgaande pagina’s uit </w:t>
      </w:r>
      <w:r w:rsidDel="00000000" w:rsidR="00000000" w:rsidRPr="00000000">
        <w:rPr>
          <w:rFonts w:ascii="Calibri" w:cs="Calibri" w:eastAsia="Calibri" w:hAnsi="Calibri"/>
          <w:i w:val="1"/>
          <w:color w:val="000000"/>
          <w:sz w:val="24"/>
          <w:szCs w:val="24"/>
          <w:rtl w:val="0"/>
        </w:rPr>
        <w:t xml:space="preserve">Durf moedig te zijn</w:t>
      </w:r>
      <w:r w:rsidDel="00000000" w:rsidR="00000000" w:rsidRPr="00000000">
        <w:rPr>
          <w:rFonts w:ascii="Calibri" w:cs="Calibri" w:eastAsia="Calibri" w:hAnsi="Calibri"/>
          <w:color w:val="000000"/>
          <w:sz w:val="24"/>
          <w:szCs w:val="24"/>
          <w:rtl w:val="0"/>
        </w:rPr>
        <w:t xml:space="preserve"> van Mariann Budde. Wie het televisiegesprek met Budde nog niet gezien heeft (we bekeken het tijdens onze eerste bijeenkomst), kan het terugvinden op de website van het TV-programma </w:t>
      </w:r>
      <w:r w:rsidDel="00000000" w:rsidR="00000000" w:rsidRPr="00000000">
        <w:rPr>
          <w:rFonts w:ascii="Calibri" w:cs="Calibri" w:eastAsia="Calibri" w:hAnsi="Calibri"/>
          <w:i w:val="1"/>
          <w:color w:val="000000"/>
          <w:sz w:val="24"/>
          <w:szCs w:val="24"/>
          <w:rtl w:val="0"/>
        </w:rPr>
        <w:t xml:space="preserve">De Verwondering</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47">
      <w:pPr>
        <w:shd w:fill="ffffff" w:val="clea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Kopij</w:t>
      </w: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Kopij voor de eerstvolgende uitgave van “De Kerk Roept” kunt u vóór dinsdag 11 november inleveren bij een kerkenraadslid of via de mail: </w:t>
      </w:r>
      <w:hyperlink r:id="rId8">
        <w:r w:rsidDel="00000000" w:rsidR="00000000" w:rsidRPr="00000000">
          <w:rPr>
            <w:rFonts w:ascii="Calibri" w:cs="Calibri" w:eastAsia="Calibri" w:hAnsi="Calibri"/>
            <w:color w:val="1155cc"/>
            <w:sz w:val="24"/>
            <w:szCs w:val="24"/>
            <w:u w:val="single"/>
            <w:rtl w:val="0"/>
          </w:rPr>
          <w:t xml:space="preserve">tuilsekerk@outlook.com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 slotte </w:t>
      </w:r>
    </w:p>
    <w:p w:rsidR="00000000" w:rsidDel="00000000" w:rsidP="00000000" w:rsidRDefault="00000000" w:rsidRPr="00000000" w14:paraId="0000004C">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Als u dit leest, is het dankdag en is er op de kerkelijke kalender recentelijk nóg een feestdag gepasseerd: Hervormingsdag, 31 oktober. Een dag om te vieren dat de kerk in 1517 en daarna hervormers heeft gehad die haar veranderden van een instrument om menselijke behoeften te bevredigen in een werktuig van God. Luther: ‘De Heilige Geest verlicht en heiligt de christendheid en houdt haar staande bij Jezus Christus door het geloof waarin zij vergeving ontvangt en het eeuwige leven.’ Laten we bidden dat onze kerk op die manier ‘hervormd’ is en dat wij ons in die kerk op onze plaats voelen. </w:t>
      </w: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Hartelijke groet, namens de kerkenraad</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ds. Udo Doedens (0418-645651)</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table" w:styleId="TableNormala" w:customStyle="1">
    <w:name w:val="TableNormal"/>
    <w:tblPr>
      <w:tblCellMar>
        <w:top w:w="0.0" w:type="dxa"/>
        <w:left w:w="0.0" w:type="dxa"/>
        <w:bottom w:w="0.0" w:type="dxa"/>
        <w:right w:w="0.0" w:type="dxa"/>
      </w:tblCellMar>
    </w:tblPr>
  </w:style>
  <w:style w:type="table" w:styleId="TableNormalb" w:customStyle="1">
    <w:name w:val="TableNormal"/>
    <w:tblPr>
      <w:tblCellMar>
        <w:top w:w="0.0" w:type="dxa"/>
        <w:left w:w="0.0" w:type="dxa"/>
        <w:bottom w:w="0.0" w:type="dxa"/>
        <w:right w:w="0.0" w:type="dxa"/>
      </w:tblCellMar>
    </w:tblPr>
  </w:style>
  <w:style w:type="table" w:styleId="TableNormalc" w:customStyle="1">
    <w:name w:val="TableNormal"/>
    <w:tblPr>
      <w:tblCellMar>
        <w:top w:w="0.0" w:type="dxa"/>
        <w:left w:w="0.0" w:type="dxa"/>
        <w:bottom w:w="0.0" w:type="dxa"/>
        <w:right w:w="0.0" w:type="dxa"/>
      </w:tblCellMar>
    </w:tblPr>
  </w:style>
  <w:style w:type="table" w:styleId="TableNormald" w:customStyle="1">
    <w:name w:val="TableNormal"/>
    <w:tblPr>
      <w:tblCellMar>
        <w:top w:w="0.0" w:type="dxa"/>
        <w:left w:w="0.0" w:type="dxa"/>
        <w:bottom w:w="0.0" w:type="dxa"/>
        <w:right w:w="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a" w:customStyle="1">
    <w:basedOn w:val="TableNormalfd"/>
    <w:tblPr>
      <w:tblStyleRowBandSize w:val="1"/>
      <w:tblStyleColBandSize w:val="1"/>
      <w:tblCellMar>
        <w:top w:w="100.0" w:type="dxa"/>
        <w:left w:w="100.0" w:type="dxa"/>
        <w:bottom w:w="100.0" w:type="dxa"/>
        <w:right w:w="100.0" w:type="dxa"/>
      </w:tblCellMar>
    </w:tblPr>
  </w:style>
  <w:style w:type="table" w:styleId="a0" w:customStyle="1">
    <w:basedOn w:val="TableNormalfd"/>
    <w:tblPr>
      <w:tblStyleRowBandSize w:val="1"/>
      <w:tblStyleColBandSize w:val="1"/>
      <w:tblCellMar>
        <w:top w:w="100.0" w:type="dxa"/>
        <w:left w:w="100.0" w:type="dxa"/>
        <w:bottom w:w="100.0" w:type="dxa"/>
        <w:right w:w="100.0" w:type="dxa"/>
      </w:tblCellMar>
    </w:tblPr>
  </w:style>
  <w:style w:type="table" w:styleId="a1" w:customStyle="1">
    <w:basedOn w:val="TableNormalfd"/>
    <w:tblPr>
      <w:tblStyleRowBandSize w:val="1"/>
      <w:tblStyleColBandSize w:val="1"/>
      <w:tblCellMar>
        <w:top w:w="100.0" w:type="dxa"/>
        <w:left w:w="100.0" w:type="dxa"/>
        <w:bottom w:w="100.0" w:type="dxa"/>
        <w:right w:w="100.0" w:type="dxa"/>
      </w:tblCellMar>
    </w:tblPr>
  </w:style>
  <w:style w:type="table" w:styleId="a2" w:customStyle="1">
    <w:basedOn w:val="TableNormalfd"/>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g1P20zaqjSdeyL/7SX74GlIQ==">CgMxLjA4AHIhMWl5T1hrYzBnVWN3TEhYS0JCbW1DS3MyLU5RazJlRHdT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2025-10-28T08:52:00Z</dcterms:created>
  <dc:creator>Udo Doedens</dc:creator>
</cp:coreProperties>
</file>